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93" w:rsidRPr="00D8643F" w:rsidRDefault="00403C93" w:rsidP="00403C93">
      <w:pPr>
        <w:jc w:val="center"/>
        <w:rPr>
          <w:rFonts w:cstheme="minorHAnsi"/>
          <w:b/>
        </w:rPr>
      </w:pPr>
      <w:r w:rsidRPr="00D8643F">
        <w:rPr>
          <w:rFonts w:cstheme="minorHAnsi"/>
          <w:b/>
          <w:noProof/>
        </w:rPr>
        <w:drawing>
          <wp:inline distT="0" distB="0" distL="0" distR="0" wp14:anchorId="63435089" wp14:editId="28757522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93" w:rsidRPr="00D8643F" w:rsidRDefault="00403C93" w:rsidP="00403C93">
      <w:pPr>
        <w:jc w:val="both"/>
        <w:rPr>
          <w:rFonts w:cstheme="minorHAnsi"/>
          <w:b/>
        </w:rPr>
      </w:pPr>
    </w:p>
    <w:p w:rsidR="00403C93" w:rsidRDefault="00403C93" w:rsidP="00403C93">
      <w:pPr>
        <w:jc w:val="center"/>
        <w:rPr>
          <w:rFonts w:cstheme="minorHAnsi"/>
          <w:b/>
          <w:color w:val="FF0000"/>
        </w:rPr>
      </w:pPr>
      <w:r w:rsidRPr="00D8643F">
        <w:rPr>
          <w:rFonts w:cstheme="minorHAnsi"/>
          <w:b/>
          <w:color w:val="FF0000"/>
        </w:rPr>
        <w:t>ИНФОРМАЦИОННЫЙ ДАЙДЖЕСТ</w:t>
      </w:r>
    </w:p>
    <w:p w:rsidR="00403C93" w:rsidRPr="00A71D86" w:rsidRDefault="00403C93" w:rsidP="00403C93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(период  </w:t>
      </w:r>
      <w:r w:rsidRPr="00403C93">
        <w:rPr>
          <w:rFonts w:cstheme="minorHAnsi"/>
          <w:b/>
          <w:color w:val="FF0000"/>
        </w:rPr>
        <w:t>2</w:t>
      </w:r>
      <w:r>
        <w:rPr>
          <w:rFonts w:cstheme="minorHAnsi"/>
          <w:b/>
          <w:color w:val="FF0000"/>
        </w:rPr>
        <w:t xml:space="preserve">9 августа </w:t>
      </w:r>
      <w:r w:rsidRPr="00403C93">
        <w:rPr>
          <w:rFonts w:cstheme="minorHAnsi"/>
          <w:b/>
          <w:color w:val="FF0000"/>
        </w:rPr>
        <w:t xml:space="preserve">- </w:t>
      </w:r>
      <w:r>
        <w:rPr>
          <w:rFonts w:cstheme="minorHAnsi"/>
          <w:b/>
          <w:color w:val="FF0000"/>
        </w:rPr>
        <w:t>5</w:t>
      </w:r>
      <w:r w:rsidRPr="00403C93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сентября</w:t>
      </w:r>
      <w:bookmarkStart w:id="0" w:name="_GoBack"/>
      <w:bookmarkEnd w:id="0"/>
      <w:r>
        <w:rPr>
          <w:rFonts w:cstheme="minorHAnsi"/>
          <w:b/>
          <w:color w:val="FF0000"/>
        </w:rPr>
        <w:t xml:space="preserve">  2022)</w:t>
      </w:r>
    </w:p>
    <w:p w:rsidR="00403C93" w:rsidRDefault="00403C93" w:rsidP="00AF3263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403C93" w:rsidRDefault="00403C93" w:rsidP="00AF3263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2C212B" w:rsidRPr="00AF3263" w:rsidRDefault="008D736B" w:rsidP="00AF3263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F3263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8D736B" w:rsidRPr="00AF3263" w:rsidRDefault="008D736B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>В России разработали проект по борьбе с сахарным диабетом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Правительство разработало федеральный проект «Борьба с сахарным диабетом», пишет ТАСС со ссылкой на пресс-службу </w:t>
      </w:r>
      <w:proofErr w:type="spellStart"/>
      <w:r w:rsidRPr="00AF3263">
        <w:rPr>
          <w:rFonts w:ascii="Calibri" w:hAnsi="Calibri" w:cs="Calibri"/>
          <w:sz w:val="24"/>
          <w:szCs w:val="24"/>
        </w:rPr>
        <w:t>кабмина</w:t>
      </w:r>
      <w:proofErr w:type="spellEnd"/>
      <w:r w:rsidRPr="00AF3263">
        <w:rPr>
          <w:rFonts w:ascii="Calibri" w:hAnsi="Calibri" w:cs="Calibri"/>
          <w:sz w:val="24"/>
          <w:szCs w:val="24"/>
        </w:rPr>
        <w:t>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Он предусматривает мероприятия по раннему выявлению и лечению сахарного диабета, проведение профилактических мероприятий, обеспечение больных лекарствами и материалами для определения уровня глюкозы в крови, внедрение новых методов лечения. Кроме того, проект содержит мероприятия по подготовке специалистов для диагностики и лечения сахарного диабета.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Средства на проект выделят из федерального и регионального бюджетов, а также из системы обязательного медицинского страхования.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Ранее Минэкономразвития предложило создать платформу «Персональный медицинский помощник» для передачи данных, в том числе с умных часов и фитнес-браслетов, о состоянии здоровья граждан. На платформе планируется автоматически </w:t>
      </w:r>
      <w:proofErr w:type="spellStart"/>
      <w:r w:rsidRPr="00AF3263">
        <w:rPr>
          <w:rFonts w:ascii="Calibri" w:hAnsi="Calibri" w:cs="Calibri"/>
          <w:sz w:val="24"/>
          <w:szCs w:val="24"/>
        </w:rPr>
        <w:t>мониторить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жизненно важные показатели здоровья пациентов с хроническими заболеваниями, в том числе с сахарным диабетом или гипертонией.</w:t>
      </w:r>
    </w:p>
    <w:p w:rsidR="008D736B" w:rsidRPr="00AF3263" w:rsidRDefault="008D736B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AF3263">
          <w:rPr>
            <w:rStyle w:val="a3"/>
            <w:rFonts w:ascii="Calibri" w:hAnsi="Calibri" w:cs="Calibri"/>
            <w:sz w:val="24"/>
            <w:szCs w:val="24"/>
          </w:rPr>
          <w:t>https://www.pnp.ru/social/v-rossii-razrabotali-proekt-po-borbe-s-sakharnym-diabetom.html?utm_source=yxnews&amp;utm_medium=desktop&amp;utm_referrer=https%3A%2F%2Fyandex.ru%2Fnews%2Fsearch%3Ftext%3D</w:t>
        </w:r>
      </w:hyperlink>
    </w:p>
    <w:p w:rsidR="008D736B" w:rsidRPr="00AF3263" w:rsidRDefault="008D736B" w:rsidP="00AF3263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F3263">
        <w:rPr>
          <w:rFonts w:ascii="Calibri" w:hAnsi="Calibri" w:cs="Calibri"/>
          <w:b/>
          <w:color w:val="FF0000"/>
          <w:sz w:val="24"/>
          <w:szCs w:val="24"/>
        </w:rPr>
        <w:t>МИНЗДРАВ</w:t>
      </w:r>
      <w:r w:rsidR="00AF3263">
        <w:rPr>
          <w:rFonts w:ascii="Calibri" w:hAnsi="Calibri" w:cs="Calibri"/>
          <w:b/>
          <w:color w:val="FF0000"/>
          <w:sz w:val="24"/>
          <w:szCs w:val="24"/>
        </w:rPr>
        <w:t>/ФОМС</w:t>
      </w:r>
    </w:p>
    <w:p w:rsidR="002C212B" w:rsidRPr="00AF3263" w:rsidRDefault="002C212B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 xml:space="preserve">Минздрав анонсировал доступность медицинской реабилитации для 1 млн россиян к 2023 году 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Минздрав рекомендовал Федеральному фонду ОМС (ФОМС) организовать ежемесячный мониторинг за количеством граждан, прошедших медицинскую реабилитацию, в том числе в амбулаторных условиях и дневных стационарах, включая пациентов, перенесших СOVID-19.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Минздрав направил в ФОМС письмо с рекомендацией проводить ежемесячный мониторинг количества пациентов, детей и взрослых, прошедших медицинскую реабилитацию (копия есть в распоряжении «МВ»). Предлагается отслеживать количество граждан, прошедших медицинскую реабилитацию в амбулаторных условиях; в круглосуточных и дневных стационарах в региональных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медорганизациях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; в круглосуточных и дневных стационарах федеральных центров.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Отдельно рекомендовано вести учет прошедших медицинскую реабилитацию после перенесенной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коронавирусной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инфекции и после углубленной диспансеризации.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Как следует из письма, в паспорт федерального проекта «Оптимальная для восстановления здоровья медицинская реабилитация» планируется внести изменения, увеличив объем услуг по этому профилю в системе ОМС в два раза. До 35% объемов медпомощи по этому профилю должно оказываться в амбулаторном звене, до 11% — в федеральных центрах.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К 2023 году мероприятия по медицинской реабилитации должны быть доступны не менее 1 млн россиян, из них не менее 370 тыс. — в амбулаторных условиях. Не менее 680 тыс. человек должны получать ее в стационарных условиях, из них 120 тыс. — в федеральных центрах.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Средние нормативы финансовых затрат на единицу объема по медицинской реабилитации, включая реабилитацию пациентов после СOVID-19, </w:t>
      </w:r>
      <w:hyperlink r:id="rId6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установлены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 в программе госгарантий. Средний норматив для медицинской реабилитации в специализированных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медорганизациях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и реабилитационных отделениях на 2022 год — 42,2 тыс. руб. (в федеральных организациях — 59 тыс. руб.). Норматив на 2023 год — 44,6 и 62,3 тыс. руб. соответственно, на 2024-й — 47,1 и 65,8 тыс. руб.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Очень важно, что государство наконец-то начало всерьез относиться к медицинской реабилитации.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Онкопациенты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, например, сейчас фактически брошены между курсами химиотерапии, заявил «МВ» источник в крупной страховой компании. По его словам, без реабилитации недостижимо полное восстановление и высокое качество жизни после тяжелых заболеваний — онкологических, сердечно-сосудистых, тяжелых форм новой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коронавирусной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инфекции.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В этом году Минздрав подготовил дополнения в ведомственный приказ, устанавливающий правила медицинской реабилитации взрослых пациентов, </w:t>
      </w:r>
      <w:hyperlink r:id="rId7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 «МВ». Разрешается использовать для оказания такой помощи действующие отделения, кабинеты лечебной физкультуры, физиотерапии и другие аналогичные подразделения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без создания специализированного отделения. Кроме того, к участию в реабилитационных мероприятиях допущены федеральные центры.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Всего в России 2248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оказывают первичную медико-санитарную помощь по медицинской реабилитации и 1824 — специализированную.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Упростить получение лицензии на услуги медицинской реабилитации для амбулаторно-поликлинического звена, чтобы приблизить эту помощь к гражданам и установить достаточный тариф на нее, ранее </w:t>
      </w:r>
      <w:hyperlink r:id="rId8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рекомендовали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 эксперты Общероссийского народного фронта (ОНФ). Сейчас обеспечить соответствие существующему стандарту оснащения, который входит в лицензионные требования, могут только санаторно-курортные учреждения.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Ранее Минздрав анонсировал проект по созданию реабилитационных комплексов в первичном звене. Всего за 2022—2024 годы </w:t>
      </w:r>
      <w:hyperlink r:id="rId9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предполагается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 оснастить или переоснастить более 1350 отделений медицинской реабилитации, а также около 130 дневных стационаров. Готовность участия в проекте модернизации реабилитационных медучреждений подтвердили 82 региона. Комиссия Госдумы одобрила выделение на закупку оборудования 157 клиникам в этих субъектах 8,8 млрд руб. </w:t>
      </w:r>
    </w:p>
    <w:p w:rsidR="002C212B" w:rsidRPr="00AF3263" w:rsidRDefault="00403C93" w:rsidP="00AF3263">
      <w:pPr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2C212B" w:rsidRPr="00AF3263">
          <w:rPr>
            <w:rStyle w:val="a3"/>
            <w:rFonts w:ascii="Calibri" w:hAnsi="Calibri" w:cs="Calibri"/>
            <w:sz w:val="24"/>
            <w:szCs w:val="24"/>
          </w:rPr>
          <w:t>https://medvestnik.ru/content/news/Minzdrav-anonsiroval-dostupnost-medicinskoi-reabilitacii-dlya-1-mln-rossiyan-k-2023-godu.html</w:t>
        </w:r>
      </w:hyperlink>
    </w:p>
    <w:p w:rsidR="008D736B" w:rsidRPr="00AF3263" w:rsidRDefault="008D736B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>Расходы ФОМС в 2023 году впервые превысят 3 трлн рублей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F3263">
        <w:rPr>
          <w:rFonts w:ascii="Calibri" w:hAnsi="Calibri" w:cs="Calibri"/>
          <w:sz w:val="24"/>
          <w:szCs w:val="24"/>
          <w:shd w:val="clear" w:color="auto" w:fill="FFFFFF"/>
        </w:rPr>
        <w:t>В 2023 году на обеспечение системы ОМС государство планирует потратить 3,2 трлн руб. На 2022 год заложено 2,8 трлн руб.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Минздрав подготовил проект бюджета Федерального фонда ОМС (ФОМС) на 2023 год. Копия документа, который планируется опубликовать на портале regulation.gov.ru 31 августа, имеется в распоряжении «МВ».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Ожидается, что доходы фонда, большая часть которых формируется за счет страховых взносов на ОМС, составят 3,1 трлн руб. Это на 12% больше по сравнению с показателем 2022 года. Расходы ФОМС вырастут на 14%, до 3,2 трлн руб. Дефицит бюджета фонда составит 82,7 млрд руб.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По сравнению с 2022 годом ожидаемый дефицит вырастет в три с лишним раза и в общей сумме расходов составит 2,6%. На текущий год он запланирован в размере 21,8 млрд руб. При этом в законе «О бюджете Федерального фонда ОМС на 2022 год и на плановый период 2023 и 2024 годов» предполагалось, что в 2023 году дефицит будет 25,4 млрд руб.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Согласно проекту, дефицит будет покрыт за счет уменьшения остатков денежных средств бюджета ФОМС.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Размер субвенций бюджетам территориальных фондов (ТФОМС) на финансирование оказания медицинской помощи по программе ОМС в 2023 году может составить 2,7 трлн руб. В текущем году он равен 2,5 трлн руб. Рост год к году – +11,6%. В трехлетнем бюджете на 2022 и плановый период 2023 и 2024 годов предполагалось, что субвенции ТФОМС в 2023 году составят 2,6 трлн руб.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Планируемый размер субвенции обеспечивает </w:t>
      </w:r>
      <w:proofErr w:type="spellStart"/>
      <w:r w:rsidRPr="00AF3263">
        <w:rPr>
          <w:rFonts w:ascii="Calibri" w:hAnsi="Calibri" w:cs="Calibri"/>
          <w:sz w:val="24"/>
          <w:szCs w:val="24"/>
        </w:rPr>
        <w:t>подушевой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норматив базовой программы ОМС на 2023 год в размере 15 823,6 руб., говорится в пояснительной записке к проекту закона.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Объем финансирования федеральным клиникам на обеспечение базовой программы ОМС, в том числе на оказание высокотехнологичной медпомощи (ВМП), вырастет на 13% – с 154,4 млрд до 174,9 млрд руб.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На ВМП вне базовой программы ОМС (ВМП-II) будет направлено 129,4 млрд руб. Это больше на 15% по сравнению с </w:t>
      </w:r>
      <w:hyperlink r:id="rId11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расходами 2022 года</w:t>
        </w:r>
      </w:hyperlink>
      <w:r w:rsidRPr="00AF3263">
        <w:rPr>
          <w:rFonts w:ascii="Calibri" w:hAnsi="Calibri" w:cs="Calibri"/>
          <w:sz w:val="24"/>
          <w:szCs w:val="24"/>
        </w:rPr>
        <w:t>. В законе «О бюджете Федерального фонда ОМС на 2022 и на плановый период 2023 и 2024 годов» на 2023 год на эти цели было запланировано 117 млрд руб.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lastRenderedPageBreak/>
        <w:t>Согласно проекту, федеральные медучреждения на ВМП вне ОМС получат 126,4 млрд руб., частные клиники – 3 млрд руб.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В 2023 году планируется направить на стимулирующие выплаты медработникам за выявление онкологических заболеваний в ходе диспансеризации и медосмотров только 54 млн руб. Как </w:t>
      </w:r>
      <w:hyperlink r:id="rId12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AF326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неактивно используют средства, выделенные на этот вид выплат. В 2022 году на эти цели правительство выделило 155,5 млн руб. В первом полугодии ТФОМС перечислено 66,1 млн руб., а непосредственно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— всего 469,2 тыс. руб., из которых врачам выплачено 345,6 тыс. руб.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hyperlink r:id="rId13" w:history="1">
        <w:r w:rsidRPr="00AF3263">
          <w:rPr>
            <w:rStyle w:val="a3"/>
            <w:rFonts w:ascii="Calibri" w:hAnsi="Calibri" w:cs="Calibri"/>
            <w:sz w:val="24"/>
            <w:szCs w:val="24"/>
          </w:rPr>
          <w:t>https://medvestnik.ru/content/news/Rashody-FOMS-v-2023-godu-vpervye-prevysyat-3-trln-rublei.html</w:t>
        </w:r>
      </w:hyperlink>
    </w:p>
    <w:p w:rsidR="008D736B" w:rsidRPr="00AF3263" w:rsidRDefault="008D736B" w:rsidP="00AF3263">
      <w:pPr>
        <w:jc w:val="both"/>
        <w:rPr>
          <w:rFonts w:ascii="Calibri" w:hAnsi="Calibri" w:cs="Calibri"/>
          <w:b/>
          <w:sz w:val="24"/>
          <w:szCs w:val="24"/>
        </w:rPr>
      </w:pPr>
    </w:p>
    <w:p w:rsidR="008D736B" w:rsidRPr="00AF3263" w:rsidRDefault="008D736B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 xml:space="preserve">Минздрав анонсировал корректировку методики распределения субвенций из бюджета ФОМС 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Минздрав планирует внести изменения в методику распределения субвенций, направляемых из бюджета Федерального фонда ОМС регионам на оплату медицинской помощи. Медучреждения смогут более полно учитывать расходы на заработную плату и прочие затраты.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рекомендовал Комитету Совета Федерации по социальной политике подготовить и направить вице-премьеру Татьяне Голиковой предложения по внесению изменений в методику распределения субвенций из бюджета Федерального фонда ОМС (ФОМС), которые перечисляются регионам на медицинскую помощь. Речь идет о введении коэффициента, направленного на выравнивание структуры расходов субъектов в текущем году, следует из письма зам. министра здравоохранения Владимира Зеленского, направленного в Госдуму 25 августа в ответ на запрос депутата Юлии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Сарановой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(копия есть в распоряжении «МВ»).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Уточняется, что подготовленные предложения обсуждались на заседании Комитета Совета Федерации по социальной политике 21 июля. Его участники «поддержали подход по введению в указанную методику корректирующего коэффициента, учитывающего доли расходов медицинских организаций на заработную плату и прочие расходы», говорится в письме.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Решение об изменении методики распределения субвенций будет принимать Правительство РФ.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В 2021 году Счетная палата </w:t>
      </w:r>
      <w:hyperlink r:id="rId14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заявила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 о несовершенствах методики распределения субвенций ФОМС регионам и рекомендовала ее корректировку. Не учитывались специфика заболеваний в разных регионах, ценовые факторы.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Аудиторы также </w:t>
      </w:r>
      <w:hyperlink r:id="rId15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пришли к выводу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, что программа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софинансирования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расходов на оплату труда врачей и медицинского персонала за счет средств нормированного страхового запаса (НСЗ) реализуется недостаточно эффективно. Средства на повышение зарплат в 2021 году использованы всего на 3%. Деньги распределяются без учета потребности регионов в медработниках.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hyperlink r:id="rId16" w:history="1">
        <w:r w:rsidRPr="00AF3263">
          <w:rPr>
            <w:rStyle w:val="a3"/>
            <w:rFonts w:ascii="Calibri" w:hAnsi="Calibri" w:cs="Calibri"/>
            <w:sz w:val="24"/>
            <w:szCs w:val="24"/>
          </w:rPr>
          <w:t>https://medvestnik.ru/content/news/Minzdrav-anonsiroval-korrektirovku-metodiki-raspredeleniya-subvencii-iz-budjeta-FOMS.html</w:t>
        </w:r>
      </w:hyperlink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</w:p>
    <w:p w:rsidR="008D736B" w:rsidRPr="00AF3263" w:rsidRDefault="008D736B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 xml:space="preserve">Минздрав направил регионам рекомендации по совершенствованию систем оплаты труда 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В связи с отсрочкой старта пилотного проекта по внедрению единой отраслевой системы оплаты труда Минздрав рекомендовал регионам активизировать работу в этом направлении «в целях сохранения кадрового потенциала».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Минздрав направил в регионы письмо с просьбой активизировать работу по совершенствованию систем оплаты труда медицинских работников для «повышения привлекательности работы в системе здравоохранения». Рекомендовано установить долю окладной части в структуре заработной платы не ниже 55—60%, без учета компенсационных выплат за работу в особых климатических условиях, сообщили в ведомстве на запрос Профсоюза работников здравоохранения России (копия ответа есть в распоряжении «МВ»).</w:t>
      </w:r>
    </w:p>
    <w:p w:rsidR="008D736B" w:rsidRPr="00AF3263" w:rsidRDefault="008D736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Единые подходы к регулированию зарплаты работников организаций бюджетной сферы в основном за счет увеличения доли должностного оклада в структуре заработной платы предусмотрены в 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учреждений, отмечается в письме Минздрава.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Депутаты и профсоюзы предупредили о последствиях отказа от новой системы оплаты труда в медицине, сообщал </w:t>
      </w:r>
      <w:hyperlink r:id="rId17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ранее 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«МВ». По оценкам профсоюзных организаций, после двух лет пандемии медработники привыкли получать достойное вознаграждение за свой труд. На фоне отмены этих доплат их недовольство заработной платой усилится. </w:t>
      </w:r>
      <w:hyperlink r:id="rId18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Реальная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 зарплата в отрасли снизилась из-за роста цен.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Правительство </w:t>
      </w:r>
      <w:hyperlink r:id="rId19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отложило 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запуск пилотного проекта по внедрению новой системы оплаты труда медработников государственных и муниципальных учреждений здравоохранения до 2025 года. Основная цель реформы — ввести единую отраслевую систему оплаты труда, сгладить значимую разницу в зарплатах по одним и тем же медицинским специальностям между регионами и тем самым снизить отток кадров из менее обеспеченных субъектов.</w:t>
      </w:r>
    </w:p>
    <w:p w:rsidR="008D736B" w:rsidRPr="00AF3263" w:rsidRDefault="008D736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Средний заработок российских врачей в первом полугодии 2022 года составил 191,9% от средней зарплаты по стране, не дотянув до планки, обозначенной в майском указе президента, </w:t>
      </w:r>
      <w:hyperlink r:id="rId20" w:history="1">
        <w:r w:rsidRPr="00AF326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. По итогам 2021 года Минздрав заявлял о перевыполнении показателя.</w:t>
      </w:r>
    </w:p>
    <w:p w:rsidR="008D736B" w:rsidRPr="00AF3263" w:rsidRDefault="008D736B" w:rsidP="00AF3263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21" w:history="1">
        <w:r w:rsidRPr="00AF3263">
          <w:rPr>
            <w:rStyle w:val="a3"/>
            <w:rFonts w:ascii="Calibri" w:hAnsi="Calibri" w:cs="Calibri"/>
            <w:sz w:val="24"/>
            <w:szCs w:val="24"/>
          </w:rPr>
          <w:t>https://medvestnik.ru/content/news/Minzdrav-napravil-regionam-rekomendacii-po-sovershenstvovaniu-sistem-oplaty-truda.html</w:t>
        </w:r>
      </w:hyperlink>
    </w:p>
    <w:p w:rsidR="00AF3263" w:rsidRPr="00AF3263" w:rsidRDefault="00AF3263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 xml:space="preserve">Минздрав и ФОМС утвердили условия финансовой мотивации ЛПУ за эффективную профилактику 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lastRenderedPageBreak/>
        <w:t>Минздрав и Федеральный фонд ОМС определили правила премирования поликлиник с высокими показателями охвата населения диспансеризацией и профилактической работой.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Минздрав и Федеральный фонд ОМС (ФОМС) утвердили изменения в Методические рекомендации по способам оплаты медицинской помощи за счет средств обязательного медицинского страхования от 2 февраля 2022 года о выплатах, предоставляемых медучреждениям за эффективную работу с населением по диспансеризации и профилактическим мероприятиям. Разъяснения даны в </w:t>
      </w:r>
      <w:hyperlink r:id="rId22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совместном письме</w:t>
        </w:r>
      </w:hyperlink>
      <w:r w:rsidRPr="00AF3263">
        <w:rPr>
          <w:rFonts w:ascii="Calibri" w:hAnsi="Calibri" w:cs="Calibri"/>
          <w:sz w:val="24"/>
          <w:szCs w:val="24"/>
        </w:rPr>
        <w:t> в адрес руководителей региональных органов управления здравоохранением и директоров территориальных фондов ОМС.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В качестве критериев оцениваются: прирост показателей профилактических посещений, впервые диагностированных заболеваний, снижение уровня смертности и экстренных госпитализаций из-за декомпенсации по сравнению с предыдущим периодом. Для получения дополнительного финансирования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нужно накопить определенное количество баллов. Условия их начисления описаны в приложении.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В разделе «Оценка эффективности профилактических мероприятий» взрослого населения от 18 лет оценивается прирост доли посещений с профилактической целью от общего числа посещений (0,5—1 балл); прирост доли пациентов с впервые выявленными в ходе диспансеризации или </w:t>
      </w:r>
      <w:proofErr w:type="spellStart"/>
      <w:r w:rsidRPr="00AF3263">
        <w:rPr>
          <w:rFonts w:ascii="Calibri" w:hAnsi="Calibri" w:cs="Calibri"/>
          <w:sz w:val="24"/>
          <w:szCs w:val="24"/>
        </w:rPr>
        <w:t>профосмотров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болезнями системы кровообращения (1—2 балла).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Прирост аналогичного показателя в отношении пациентов с выявленными злокачественными новообразованиями, хронической </w:t>
      </w:r>
      <w:proofErr w:type="spellStart"/>
      <w:r w:rsidRPr="00AF3263">
        <w:rPr>
          <w:rFonts w:ascii="Calibri" w:hAnsi="Calibri" w:cs="Calibri"/>
          <w:sz w:val="24"/>
          <w:szCs w:val="24"/>
        </w:rPr>
        <w:t>обструктивной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болезнью легких (ХОБЛ), сахарным диабетом в размере 5% и более оценивается в 0,5 балла, в размере 10% и более – в 1 балл. Выполнение плана вакцинации против новой </w:t>
      </w:r>
      <w:proofErr w:type="spellStart"/>
      <w:r w:rsidRPr="00AF3263">
        <w:rPr>
          <w:rFonts w:ascii="Calibri" w:hAnsi="Calibri" w:cs="Calibri"/>
          <w:sz w:val="24"/>
          <w:szCs w:val="24"/>
        </w:rPr>
        <w:t>коронавирусной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инфекции в объеме 100% и более «стоит» 2 балла.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В разделе «Оценка эффективности диспансерного наблюдения» условием начисления баллов служит достигнутый плановый показатель в размере 100% и более по установлению наблюдения за пациентами с ССЗ, ХОБЛ, сахарным диабетом. Отдельно оценивается снижение частоты экстренных госпитализаций прикрепленного контингента по причине обострения (декомпенсации) заболевания (от 0,5 до 2 баллов). Снижение смертности прикрепленного населения в возрасте от 30 до 69 лет оценивается от 0,5 до 3 баллов.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До 7 баллов могут заработать детские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за достижение плановых показателей в размере 100% по диспансерному наблюдению по разным профилям и охвату вакцинацией детей в рамках Национального календаря прививок.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В разделе «Оказание акушерско-гинекологической помощи» максимальная стоимость (2 балла) указана за достижение планового показателя в объеме 100% от плана и более числа беременных женщин, прошедших скрининг антенатального развития плода. Отдельно оценивается прирост доли женщин, отказавшихся от искусственного прерывания беременности в ходе </w:t>
      </w:r>
      <w:proofErr w:type="spellStart"/>
      <w:r w:rsidRPr="00AF3263">
        <w:rPr>
          <w:rFonts w:ascii="Calibri" w:hAnsi="Calibri" w:cs="Calibri"/>
          <w:sz w:val="24"/>
          <w:szCs w:val="24"/>
        </w:rPr>
        <w:t>доабортного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консультирования ( от 0,5 до 1 балла), а также охват вакцинацией против новой </w:t>
      </w:r>
      <w:proofErr w:type="spellStart"/>
      <w:r w:rsidRPr="00AF3263">
        <w:rPr>
          <w:rFonts w:ascii="Calibri" w:hAnsi="Calibri" w:cs="Calibri"/>
          <w:sz w:val="24"/>
          <w:szCs w:val="24"/>
        </w:rPr>
        <w:t>коронавирусной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инфекции беременных в объеме 100% от плана (1 балл) и прирост доли впервые выявленных женщин с раком шейки матки и раком молочной железы (0,5—1 балл).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lastRenderedPageBreak/>
        <w:t xml:space="preserve">Итоги работы медучреждений согласно правилам раз в квартал подводят Комиссии по разработке территориальной программы ОМС. Выплаты рекомендуется производить по результатам каждого полугодия в качестве дополнительных средств к базовому </w:t>
      </w:r>
      <w:proofErr w:type="spellStart"/>
      <w:r w:rsidRPr="00AF3263">
        <w:rPr>
          <w:rFonts w:ascii="Calibri" w:hAnsi="Calibri" w:cs="Calibri"/>
          <w:sz w:val="24"/>
          <w:szCs w:val="24"/>
        </w:rPr>
        <w:t>подушевому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финансированию.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Для получения хотя бы минимальной премии учреждение должно выполнить не менее 50% показателей или более 90% от распределенного объема медицинской помощи. Максимальные доплаты получат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AF3263">
        <w:rPr>
          <w:rFonts w:ascii="Calibri" w:hAnsi="Calibri" w:cs="Calibri"/>
          <w:sz w:val="24"/>
          <w:szCs w:val="24"/>
        </w:rPr>
        <w:t>, выполнившие более 70% показателей.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Планы разработать </w:t>
      </w:r>
      <w:hyperlink r:id="rId23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критерии </w:t>
        </w:r>
      </w:hyperlink>
      <w:r w:rsidRPr="00AF3263">
        <w:rPr>
          <w:rFonts w:ascii="Calibri" w:hAnsi="Calibri" w:cs="Calibri"/>
          <w:sz w:val="24"/>
          <w:szCs w:val="24"/>
        </w:rPr>
        <w:t xml:space="preserve">финансирования деятельности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AF3263">
        <w:rPr>
          <w:rFonts w:ascii="Calibri" w:hAnsi="Calibri" w:cs="Calibri"/>
          <w:sz w:val="24"/>
          <w:szCs w:val="24"/>
        </w:rPr>
        <w:t>, увязанные с вкладом в здоровье пациента, председатель ФОМС </w:t>
      </w:r>
      <w:r w:rsidRPr="00AF3263">
        <w:rPr>
          <w:rStyle w:val="a5"/>
          <w:rFonts w:ascii="Calibri" w:hAnsi="Calibri" w:cs="Calibri"/>
          <w:color w:val="1A1B1D"/>
          <w:sz w:val="24"/>
          <w:szCs w:val="24"/>
        </w:rPr>
        <w:t xml:space="preserve">Илья </w:t>
      </w:r>
      <w:proofErr w:type="spellStart"/>
      <w:r w:rsidRPr="00AF3263">
        <w:rPr>
          <w:rStyle w:val="a5"/>
          <w:rFonts w:ascii="Calibri" w:hAnsi="Calibri" w:cs="Calibri"/>
          <w:color w:val="1A1B1D"/>
          <w:sz w:val="24"/>
          <w:szCs w:val="24"/>
        </w:rPr>
        <w:t>Баланин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 анонсировал на Петербургском международном экономическом форуме (ПМЭФ). Отмечалось, что такой подход призван повысить финансовую заинтересованность медицинских работников избежать неоправданных расходов на оплату случаев некачественного оказания медпомощи, тем самым перераспределив расходы в пользу более эффективных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AF3263">
        <w:rPr>
          <w:rFonts w:ascii="Calibri" w:hAnsi="Calibri" w:cs="Calibri"/>
          <w:sz w:val="24"/>
          <w:szCs w:val="24"/>
        </w:rPr>
        <w:t>.</w:t>
      </w:r>
    </w:p>
    <w:p w:rsidR="002C212B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Pr="00AF3263">
          <w:rPr>
            <w:rStyle w:val="a3"/>
            <w:rFonts w:ascii="Calibri" w:hAnsi="Calibri" w:cs="Calibri"/>
            <w:sz w:val="24"/>
            <w:szCs w:val="24"/>
          </w:rPr>
          <w:t>https://medvestnik.ru/content/news/Minzdrav-i-FOMS-utverdili-usloviya-finansovoi-motivacii-LPU-za-effektivnuu-profilaktiku.html</w:t>
        </w:r>
      </w:hyperlink>
    </w:p>
    <w:p w:rsidR="002C212B" w:rsidRPr="00AF3263" w:rsidRDefault="002C212B" w:rsidP="00AF3263">
      <w:pPr>
        <w:jc w:val="both"/>
        <w:rPr>
          <w:rFonts w:ascii="Calibri" w:hAnsi="Calibri" w:cs="Calibri"/>
          <w:caps/>
          <w:color w:val="1E1E20"/>
          <w:sz w:val="24"/>
          <w:szCs w:val="24"/>
        </w:rPr>
      </w:pPr>
      <w:r w:rsidRPr="00AF3263">
        <w:rPr>
          <w:rFonts w:ascii="Calibri" w:hAnsi="Calibri" w:cs="Calibri"/>
          <w:b/>
          <w:bCs/>
          <w:caps/>
          <w:color w:val="1E1E20"/>
          <w:sz w:val="24"/>
          <w:szCs w:val="24"/>
        </w:rPr>
        <w:t>МИНЗДРАВ СОБИРАЕТСЯ ПРОДЛИТЬ ДЕЙСТВИЕ ФЕДПРОЕКТА «БОРЬБА С ОНКОЛОГИЧЕСКИМИ ЗАБОЛЕВАНИЯМИ»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Заместитель министра здравоохранения РФ Евгений Камкин сообщил, что Минздрав «подготовил предложения» по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пролонгированию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федерального проекта «Борьба с онкологическими заболеваниями» после его официального завершения в 2024 году. По словам Камкина, в прошедшие три года программа, на которую в 2019–2021 годах потрачен 461 млрд рублей и за три следующих года уйдет еще почти 500 млрд рублей, показала свою эффективность, поэтому ее финансирование «не должно уменьшаться».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«Безусловно, процесс, связанный с оказанием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онкопомощи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, и сам проект не должны завершаться в 2024 году и далее отправляться в свободное плавание, – пояснил Камкин, выступая 5 сентября на форуме «Инновационная онкология». – Мы сейчас подготовили предложения по продлению проекта в части определенных процессных мероприятий, которые нужно продолжать и развивать, средства на реализацию проекта не должны уменьшаться, потому что появляются новые методы лечения, новые лекарственные препараты, приборы, которыми необходимо обеспечить доступность населения, поэтому будем вместе с вами двигаться в этом направлении».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Среди основных итогов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федпроекта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за ушедшие три года в отношении инфраструктуры замминистра назвал переоснащение и дооснащение 214 региональных и 65 федеральных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, открытие 405 </w:t>
      </w:r>
      <w:hyperlink r:id="rId25" w:history="1">
        <w:r w:rsidRPr="00AF3263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ЦАОП</w:t>
        </w:r>
      </w:hyperlink>
      <w:r w:rsidRPr="00AF3263">
        <w:rPr>
          <w:rFonts w:ascii="Calibri" w:eastAsia="Times New Roman" w:hAnsi="Calibri" w:cs="Calibri"/>
          <w:color w:val="3E4244"/>
          <w:sz w:val="24"/>
          <w:szCs w:val="24"/>
          <w:lang w:eastAsia="ru-RU"/>
        </w:rPr>
        <w:t xml:space="preserve">, </w:t>
      </w: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18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референс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-центров, трех центров протонно-лучевой терапии, притом что 17 профильных объектов еще строится, а пять уже введены в эксплуатацию (в Костромской, Магаданской областях, республиках Хакасия, Башкортостан и Мордовия).</w:t>
      </w:r>
    </w:p>
    <w:p w:rsidR="002C212B" w:rsidRPr="00AF3263" w:rsidRDefault="002C212B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В 2022 году планируется дооснастить 209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, открыть еще 68 ЦАОП и достроить шесть объектов. Смета проекта на текущий год обозначена в размере 190 млрд рублей, 140 млрд рублей из которых идут в бюджет Федерального фонда ОМС (ФФОМС).</w:t>
      </w:r>
    </w:p>
    <w:p w:rsidR="002C212B" w:rsidRDefault="002C212B" w:rsidP="00AF3263">
      <w:pPr>
        <w:jc w:val="both"/>
        <w:rPr>
          <w:rFonts w:ascii="Calibri" w:eastAsia="Times New Roman" w:hAnsi="Calibri" w:cs="Calibri"/>
          <w:color w:val="194DBB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Успехи отмечаются и в оснащении регионов диагностическим и терапевтическим лучевым оборудованием, а также в обеспечении медпомощью. Каждый год, начиная со старта проекта, ФФОМС отмечает рост объемов и стоимости оказанного лечения за счет ОМС. Рост продолжился и в 2022 году: за первые полгода, по сравнению с аналогичным периодом 2021-го, система ОМС </w:t>
      </w:r>
      <w:hyperlink r:id="rId26" w:history="1">
        <w:r w:rsidRPr="00AF3263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потратила</w:t>
        </w:r>
      </w:hyperlink>
      <w:r w:rsidRPr="00AF3263">
        <w:rPr>
          <w:rFonts w:ascii="Calibri" w:eastAsia="Times New Roman" w:hAnsi="Calibri" w:cs="Calibri"/>
          <w:color w:val="3E4244"/>
          <w:sz w:val="24"/>
          <w:szCs w:val="24"/>
          <w:lang w:eastAsia="ru-RU"/>
        </w:rPr>
        <w:t> </w:t>
      </w: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почти на 15 млрд рублей больше на профильную терапию.</w:t>
      </w: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br/>
        <w:t>Подробнее: </w:t>
      </w:r>
      <w:hyperlink r:id="rId27" w:history="1">
        <w:r w:rsidRPr="00AF3263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https://vademec.ru/news/2022/09/05/minzdrav-sobiraetsya-prodlit-deystvie-fedproekta-borba-s-onkologicheskimi-zabolevaniyami/</w:t>
        </w:r>
      </w:hyperlink>
    </w:p>
    <w:p w:rsidR="00403C93" w:rsidRPr="00403C93" w:rsidRDefault="00403C93" w:rsidP="00AF3263">
      <w:pPr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 w:rsidRPr="00403C93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РАЗНОЕ</w:t>
      </w:r>
    </w:p>
    <w:p w:rsidR="00AF3263" w:rsidRPr="00AF3263" w:rsidRDefault="00AF3263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>СП: БЮДЖЕТ ФЕДПРОЕКТА ПО СОЗДАНИЮ ЕДИНОГО ЦИФРОВОГО КОНТУРА НА ОСНОВЕ ЕГИСЗ ЗА ПОЛУГОДИЕ ИСПОЛНЕН МЕНЕЕ ЧЕМ НА 10%</w:t>
      </w:r>
    </w:p>
    <w:p w:rsidR="00AF3263" w:rsidRPr="00AF3263" w:rsidRDefault="00AF3263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Счетная палата России (СП) опубликовала оперативный доклад об исполнении федерального бюджета за январь – июнь 2022 года, оценивающий, помимо прочего, темпы реализации госпрограмм в области здравоохранения. В частности, по данным аудиторов, кассовые расходы по федеральной программе «Создание единого цифрового контура в здравоохранении на основе ЕГИСЗ» составили 1,5 млрд рублей, или 9,7% от плана. При этом показатель исполнения расходов по госпрограмме «Развитие здравоохранения» за первое полугодие 2022 года, по сравнению с аналогичным периодом 2021-го, вырос: 57,2% против 47,1%.</w:t>
      </w:r>
    </w:p>
    <w:p w:rsidR="00AF3263" w:rsidRPr="00AF3263" w:rsidRDefault="00AF3263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По оценке СП, низкий уровень исполнения расходов по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федпрограмме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«Создание единого цифрового контура в здравоохранении на основе ЕГИСЗ» связан с неудовлетворительными темпами внедрения медицинских информационных систем и налаживания механизма взаимодействия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через ЕГИСЗ, за что ответственен Минздрав, а также с нарушениями планов по расходованию средств профильных межбюджетных трансфертов.</w:t>
      </w:r>
    </w:p>
    <w:p w:rsidR="00AF3263" w:rsidRPr="00AF3263" w:rsidRDefault="00AF3263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В июле 2022 года СП </w:t>
      </w:r>
      <w:hyperlink r:id="rId28" w:history="1">
        <w:r w:rsidRPr="00AF3263">
          <w:rPr>
            <w:rFonts w:ascii="Calibri" w:eastAsia="Times New Roman" w:hAnsi="Calibri" w:cs="Calibri"/>
            <w:sz w:val="24"/>
            <w:szCs w:val="24"/>
            <w:lang w:eastAsia="ru-RU"/>
          </w:rPr>
          <w:t>провела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 детальную оценку строительства единого цифрового контура в сфере здравоохранения. Как показал этот аудит, данные от клиник в федеральную систему до сих пор поступают в недостаточном объеме, кроме того, выяснилось, что несколько параллельных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информсистем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и форм отчетности требуют от врачей многократного ввода и повторной обработки одних и тех же сведений.</w:t>
      </w:r>
    </w:p>
    <w:p w:rsidR="00AF3263" w:rsidRPr="00AF3263" w:rsidRDefault="00AF3263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Несмотря на регулярно выявляемые недостатки, единый контур в здравоохранении непрерывно развивается, с 2012 года на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цифровизацию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отрасли из бюджетов всех уровней было потрачено минимум 100 млрд рублей. Только в 2021 году, по данным Минфина,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федбюджет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29" w:history="1">
        <w:r w:rsidRPr="00AF3263">
          <w:rPr>
            <w:rFonts w:ascii="Calibri" w:eastAsia="Times New Roman" w:hAnsi="Calibri" w:cs="Calibri"/>
            <w:sz w:val="24"/>
            <w:szCs w:val="24"/>
            <w:lang w:eastAsia="ru-RU"/>
          </w:rPr>
          <w:t>выделил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 на развитие ЕГИСЗ 14,1 млрд рублей. По планам Минздрава, вскоре в ЕГИСЗ, как в якорную часть единого цифрового контура, помимо регистров медработников и клиник, </w:t>
      </w:r>
      <w:hyperlink r:id="rId30" w:history="1">
        <w:r w:rsidRPr="00AF3263">
          <w:rPr>
            <w:rFonts w:ascii="Calibri" w:eastAsia="Times New Roman" w:hAnsi="Calibri" w:cs="Calibri"/>
            <w:sz w:val="24"/>
            <w:szCs w:val="24"/>
            <w:lang w:eastAsia="ru-RU"/>
          </w:rPr>
          <w:t>должны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 быть погружены реестры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фармработников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и студентов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медвузов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AF3263" w:rsidRPr="00AF3263" w:rsidRDefault="00AF3263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Также СП выявлены недостатки и в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федпрограмме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«Модернизация первичного звена здравоохранения», кассовые расходы по которой за полугодие составили 28,6 млрд рублей (29,1% от плана), и в ФП «Развитие системы оказания первичной медико-санитарной помощи», где исполнение бюджетных расходов достигло 2,4 млрд рублей (29,3%).</w:t>
      </w:r>
    </w:p>
    <w:p w:rsidR="00AF3263" w:rsidRPr="00AF3263" w:rsidRDefault="00AF3263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Кассовые расходы ФП «Борьба с сердечно-сосудистыми заболеваниями» составили 7,9 млрд рублей (31 %), что аудиторы связывают с низким уровнем исполнения планов по предоставлению Минздравом межбюджетных трансфертов на оснащение оборудованием региональных сосудистых центров и первичных сосудистых отделений (31,2%) и </w:t>
      </w: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(31,1%).</w:t>
      </w:r>
    </w:p>
    <w:p w:rsidR="00403C93" w:rsidRDefault="00AF3263" w:rsidP="00AF3263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На финансирование </w:t>
      </w:r>
      <w:proofErr w:type="spellStart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федпроекта</w:t>
      </w:r>
      <w:proofErr w:type="spellEnd"/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 xml:space="preserve"> по борьбе с ССЗ в 2020 и 2021 годах правительство </w:t>
      </w:r>
      <w:hyperlink r:id="rId31" w:history="1">
        <w:r w:rsidRPr="00AF3263">
          <w:rPr>
            <w:rFonts w:ascii="Calibri" w:eastAsia="Times New Roman" w:hAnsi="Calibri" w:cs="Calibri"/>
            <w:sz w:val="24"/>
            <w:szCs w:val="24"/>
            <w:lang w:eastAsia="ru-RU"/>
          </w:rPr>
          <w:t>направляло</w:t>
        </w:r>
      </w:hyperlink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t> по 10 млрд рублей, на 2022 год запланировано выделение 25,1 млрд рублей. На лекарственное обеспечение пациентов, перенесших острые ССЗ, в 2020 и 2021 годах отдельно выделялось по 10 млрд рублей.</w:t>
      </w:r>
      <w:r w:rsidRPr="00AF3263">
        <w:rPr>
          <w:rFonts w:ascii="Calibri" w:eastAsia="Times New Roman" w:hAnsi="Calibri" w:cs="Calibri"/>
          <w:sz w:val="24"/>
          <w:szCs w:val="24"/>
          <w:lang w:eastAsia="ru-RU"/>
        </w:rPr>
        <w:br/>
      </w:r>
    </w:p>
    <w:p w:rsidR="00AF3263" w:rsidRPr="00AF3263" w:rsidRDefault="00AF3263" w:rsidP="00AF3263">
      <w:pPr>
        <w:jc w:val="both"/>
        <w:rPr>
          <w:rFonts w:ascii="Calibri" w:eastAsia="Times New Roman" w:hAnsi="Calibri" w:cs="Calibri"/>
          <w:color w:val="3E4244"/>
          <w:sz w:val="24"/>
          <w:szCs w:val="24"/>
          <w:lang w:eastAsia="ru-RU"/>
        </w:rPr>
      </w:pPr>
      <w:hyperlink r:id="rId32" w:history="1">
        <w:r w:rsidRPr="00AF3263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https://vademec.ru/news/2022/08/31/sp-byudzhet-fedproekta-po-sozdaniyu-edinogo-tsifrovogo-kontura-na-osnove-egisz-za-polugodie-ispolnen/</w:t>
        </w:r>
      </w:hyperlink>
    </w:p>
    <w:p w:rsidR="00AF3263" w:rsidRPr="00AF3263" w:rsidRDefault="00AF3263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 xml:space="preserve">Заработок российских врачей отстал от планки майских указов 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Средний заработок российских врачей в первом полугодии 2022 года составил 191,9% от средней зарплаты по стране. По итогам 2021 года Минздрав заявлял о перевыполнении показателя.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Заработная плата врачей в первом полугодии 2022 года составляла в среднем по стране 95 тыс. руб., следует из </w:t>
      </w:r>
      <w:hyperlink r:id="rId33" w:tgtFrame="_blank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 xml:space="preserve">данных </w:t>
        </w:r>
        <w:proofErr w:type="spellStart"/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Ростата</w:t>
        </w:r>
        <w:proofErr w:type="spellEnd"/>
      </w:hyperlink>
      <w:r w:rsidRPr="00AF3263">
        <w:rPr>
          <w:rFonts w:ascii="Calibri" w:hAnsi="Calibri" w:cs="Calibri"/>
          <w:sz w:val="24"/>
          <w:szCs w:val="24"/>
        </w:rPr>
        <w:t> об оплате труда отдельных категорий работников социальной сферы и науки. При этом оказались не выполнены требования майского указа президента по достижению установленного уровня зарплат бюджетников, обратил внимание «МВ».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Меньше — больше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В январе — июне 2022 года, согласно официальным данным, средний уровень зарплаты врачей в стране оказался на уровне 191,9% вместо предписанных 200%. Аналогичная ситуация со средним и младшим медперсоналом: там планка снизилась до 96,4 и 81% соответственно вместо установленных майским указом 100%.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По итогам 2021 года зарплата врачей в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медорганизациях</w:t>
      </w:r>
      <w:proofErr w:type="spellEnd"/>
      <w:r w:rsidRPr="00AF3263">
        <w:rPr>
          <w:rFonts w:ascii="Calibri" w:hAnsi="Calibri" w:cs="Calibri"/>
          <w:sz w:val="24"/>
          <w:szCs w:val="24"/>
        </w:rPr>
        <w:t>, участвующих в реализации территориальных программ ОМС, составила 93,52 тыс. руб., или 208,2% от среднемесячного трудового дохода в экономике, среднего медперсонала — 46,19 тыс. руб. (102,8%), </w:t>
      </w:r>
      <w:hyperlink r:id="rId34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отчитывались</w:t>
        </w:r>
      </w:hyperlink>
      <w:r w:rsidRPr="00AF3263">
        <w:rPr>
          <w:rFonts w:ascii="Calibri" w:hAnsi="Calibri" w:cs="Calibri"/>
          <w:sz w:val="24"/>
          <w:szCs w:val="24"/>
        </w:rPr>
        <w:t> Минздрав и Федеральный фонд ОМС (ФОМС). По факту, в сравнении с предыдущим годом доходы врачей увеличились незначительно (на 100 руб.), а у среднего медперсонала уменьшились (более чем на 1 тыс. руб.).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В первом полугодии 2022 года только в федеральных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медорганизациях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(ФМО) зарплаты врачей выше установленного уровня, причем существенно — в 2,3 раза. В региональных медучреждениях они не превысили 185,9% от средних по стране, в муниципальных еще ниже – 119,2%.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Относительно первого полугодия прошлого года заработок врачей также максимально увеличился в ФМО. По расчетам «МВ», в этих организациях зарплата специалистов выросла на 10% и превысила 115 тыс. руб. В региональных медучреждениях средняя зарплата врачей — 92 тыс. руб. (+5%), в муниципальных — 59 тыс. руб. (+0,1%).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Динамика заработной платы медицинских работников по формам собственности организаций, тыс. руб.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01DB5B31" wp14:editId="5746163B">
            <wp:extent cx="6084000" cy="2985822"/>
            <wp:effectExtent l="0" t="0" r="0" b="5080"/>
            <wp:docPr id="3" name="Рисунок 3" descr="55977722_m.jpg (84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977722_m.jpg (84 KB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98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263">
        <w:rPr>
          <w:rFonts w:ascii="Calibri" w:hAnsi="Calibri" w:cs="Calibri"/>
          <w:color w:val="95A5A6"/>
          <w:sz w:val="24"/>
          <w:szCs w:val="24"/>
        </w:rPr>
        <w:t>Источник: Росстат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Региональный разброс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По данным Росстата, зарплата врачей выросла за полугодие в 76 регионах, в 16 субъектах — более чем на 10%. Максимальный рост показателя относительно января — июня прошлого года зафиксирован в Кабардино-Балкарской Республике (+14%) и в Липецкой области (+13,8%). В Татарстане, Приморском крае и Хакасии прирост зарплат составил около 13%.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Style w:val="a5"/>
          <w:rFonts w:ascii="Calibri" w:hAnsi="Calibri" w:cs="Calibri"/>
          <w:color w:val="1A1B1D"/>
        </w:rPr>
        <w:t>ТОР5 регионов России с максимальным приростом заработной платы врачей, тыс. руб.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6CFAE74" wp14:editId="58645A87">
            <wp:extent cx="4248000" cy="1766047"/>
            <wp:effectExtent l="0" t="0" r="635" b="5715"/>
            <wp:docPr id="6" name="Рисунок 6" descr="zpvr_2.png (5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pvr_2.png (50 KB)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176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263">
        <w:rPr>
          <w:rFonts w:ascii="Calibri" w:hAnsi="Calibri" w:cs="Calibri"/>
          <w:color w:val="95A5A6"/>
          <w:sz w:val="24"/>
          <w:szCs w:val="24"/>
        </w:rPr>
        <w:t>Источник: Росстат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Средняя зарплата среднего медперсонала в первом полугодии 2022 года, по официальным данным, составляет 47,9 тыс. руб., младшего медперсонала – 40,2 тыс. руб.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Зарплата врачей в среднем по стране выросла на 6% относительно января — июня 2021 года, среднего и младшего медперсонала — в среднем на 5%.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Динамика заработной платы медработников в среднем по России, тыс. руб.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1CF1C456" wp14:editId="0205E22D">
            <wp:extent cx="6120000" cy="2795553"/>
            <wp:effectExtent l="0" t="0" r="0" b="5080"/>
            <wp:docPr id="5" name="Рисунок 5" descr="zpvr_3.png (3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pvr_3.png (38 KB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79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263">
        <w:rPr>
          <w:rFonts w:ascii="Calibri" w:hAnsi="Calibri" w:cs="Calibri"/>
          <w:color w:val="95A5A6"/>
          <w:sz w:val="24"/>
          <w:szCs w:val="24"/>
        </w:rPr>
        <w:t>Источник: Росстат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Самые высокие зарплаты, по данным Росстата, у врачей в Чукотском АО (233 тыс. руб.) и Ямало-Ненецком АО (232 тыс. руб.). При этом в обоих регионах показатели сократились относительно января — июня 2021 года в среднем на 2%.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ТОР5 регионов с самой высокой заработной платой врачей в России, тыс. руб.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6C27E0A" wp14:editId="5E6A071F">
            <wp:extent cx="6192000" cy="2679529"/>
            <wp:effectExtent l="0" t="0" r="0" b="6985"/>
            <wp:docPr id="4" name="Рисунок 4" descr="zpvr_4.png (6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pvr_4.png (63 KB)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67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263">
        <w:rPr>
          <w:rFonts w:ascii="Calibri" w:hAnsi="Calibri" w:cs="Calibri"/>
          <w:color w:val="95A5A6"/>
          <w:sz w:val="24"/>
          <w:szCs w:val="24"/>
        </w:rPr>
        <w:t>Источник: Росстат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По данным проведенного в этом году экспертами Общероссийского народного фронта (ОНФ) опроса, большинство (91%) из 16 тыс. медицинских работников сообщили, что их зарплата не достигает 200% от средней по экономике региона, </w:t>
      </w:r>
      <w:hyperlink r:id="rId39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писал </w:t>
        </w:r>
      </w:hyperlink>
      <w:hyperlink r:id="rId40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«МВ»</w:t>
        </w:r>
      </w:hyperlink>
      <w:r w:rsidRPr="00AF3263">
        <w:rPr>
          <w:rFonts w:ascii="Calibri" w:hAnsi="Calibri" w:cs="Calibri"/>
          <w:sz w:val="24"/>
          <w:szCs w:val="24"/>
        </w:rPr>
        <w:t>. Есть свидетельства, что специалистам приходится работать на три ставки, чтобы достичь пресловутых 200%, 53% врачей занимают больше двух ставок.</w:t>
      </w:r>
    </w:p>
    <w:p w:rsidR="00AF3263" w:rsidRPr="00AF3263" w:rsidRDefault="00AF3263" w:rsidP="00AF3263">
      <w:pPr>
        <w:jc w:val="both"/>
        <w:rPr>
          <w:rFonts w:ascii="Calibri" w:hAnsi="Calibri" w:cs="Calibri"/>
          <w:sz w:val="24"/>
          <w:szCs w:val="24"/>
        </w:rPr>
      </w:pPr>
      <w:hyperlink r:id="rId41" w:history="1">
        <w:r w:rsidRPr="00AF3263">
          <w:rPr>
            <w:rStyle w:val="a3"/>
            <w:rFonts w:ascii="Calibri" w:hAnsi="Calibri" w:cs="Calibri"/>
            <w:sz w:val="24"/>
            <w:szCs w:val="24"/>
          </w:rPr>
          <w:t>https://medvestnik.ru/content/news/Zarabotok-rossiiskih-vrachei-otstal-ot-planki-maiskih-ukazov.html</w:t>
        </w:r>
      </w:hyperlink>
    </w:p>
    <w:p w:rsidR="008942F9" w:rsidRPr="00AF3263" w:rsidRDefault="008942F9" w:rsidP="00AF3263">
      <w:pPr>
        <w:jc w:val="both"/>
        <w:rPr>
          <w:rFonts w:ascii="Calibri" w:hAnsi="Calibri" w:cs="Calibri"/>
          <w:b/>
          <w:sz w:val="24"/>
          <w:szCs w:val="24"/>
        </w:rPr>
      </w:pPr>
    </w:p>
    <w:p w:rsidR="002C212B" w:rsidRPr="00AF3263" w:rsidRDefault="002C212B" w:rsidP="00AF326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lastRenderedPageBreak/>
        <w:t xml:space="preserve">Росздравнадзор разработал новые чек-листы по госконтролю качества и безопасности медпомощи 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Росздравнадзор обновил чек-листы для проведения плановых проверок по контролю качества и безопасности медицинской деятельности. Изменения потребовалис</w:t>
      </w:r>
      <w:r w:rsidR="008D736B" w:rsidRPr="00AF3263">
        <w:rPr>
          <w:rFonts w:ascii="Calibri" w:hAnsi="Calibri" w:cs="Calibri"/>
          <w:sz w:val="24"/>
          <w:szCs w:val="24"/>
        </w:rPr>
        <w:t xml:space="preserve">ь </w:t>
      </w:r>
      <w:r w:rsidRPr="00AF3263">
        <w:rPr>
          <w:rFonts w:ascii="Calibri" w:hAnsi="Calibri" w:cs="Calibri"/>
          <w:sz w:val="24"/>
          <w:szCs w:val="24"/>
        </w:rPr>
        <w:t xml:space="preserve">после </w:t>
      </w:r>
      <w:r w:rsidR="008D736B" w:rsidRPr="00AF3263">
        <w:rPr>
          <w:rFonts w:ascii="Calibri" w:hAnsi="Calibri" w:cs="Calibri"/>
          <w:sz w:val="24"/>
          <w:szCs w:val="24"/>
        </w:rPr>
        <w:t>корректировки</w:t>
      </w:r>
      <w:r w:rsidRPr="00AF3263">
        <w:rPr>
          <w:rFonts w:ascii="Calibri" w:hAnsi="Calibri" w:cs="Calibri"/>
          <w:sz w:val="24"/>
          <w:szCs w:val="24"/>
        </w:rPr>
        <w:t xml:space="preserve"> требований по проведению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медосомотров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и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медосвидетельствований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, оказанию помощи пациентам до 21 года, вакцинации против </w:t>
      </w:r>
      <w:proofErr w:type="spellStart"/>
      <w:r w:rsidRPr="00AF3263">
        <w:rPr>
          <w:rFonts w:ascii="Calibri" w:hAnsi="Calibri" w:cs="Calibri"/>
          <w:sz w:val="24"/>
          <w:szCs w:val="24"/>
        </w:rPr>
        <w:t>коронавирусной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инфекции и т.д.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Росздравнадзор планирует обновить списки контрольных вопросов для проведения плановых проверок больниц по государственному контролю качества и безопасности медицинской деятельности (ККБМД). Проект приказа надзорного органа размещен на портале </w:t>
      </w:r>
      <w:hyperlink r:id="rId42" w:tgtFrame="_blank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regulation.dov.ru</w:t>
        </w:r>
      </w:hyperlink>
      <w:r w:rsidRPr="00AF3263">
        <w:rPr>
          <w:rFonts w:ascii="Calibri" w:hAnsi="Calibri" w:cs="Calibri"/>
          <w:sz w:val="24"/>
          <w:szCs w:val="24"/>
        </w:rPr>
        <w:t> для общественного обсуждения.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Документ учитывает произошедшие за полгода изменения в нормативном регулировании медицинской деятельности. Он призван заменить действующие чек-листы по ККБМД, утвержденные приказом службы № 973 от 11.02.2022. Общественные обсуждения продляться до 9 сентября.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Права граждан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Чек-лист по оценке соблюдения прав граждан дополнен вопросом о выполнении клиниками требований приказа Минздрава России </w:t>
      </w:r>
      <w:hyperlink r:id="rId43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№ 344н от 26.05.2022</w:t>
        </w:r>
      </w:hyperlink>
      <w:r w:rsidRPr="00AF3263">
        <w:rPr>
          <w:rFonts w:ascii="Calibri" w:hAnsi="Calibri" w:cs="Calibri"/>
          <w:sz w:val="24"/>
          <w:szCs w:val="24"/>
        </w:rPr>
        <w:t xml:space="preserve">, устанавливающего возможность для пациентов до 21 года продолжать лечиться в детских больницах. В документе также уточнено, что при проверке обеспеченности </w:t>
      </w:r>
      <w:proofErr w:type="spellStart"/>
      <w:r w:rsidRPr="00AF3263">
        <w:rPr>
          <w:rFonts w:ascii="Calibri" w:hAnsi="Calibri" w:cs="Calibri"/>
          <w:sz w:val="24"/>
          <w:szCs w:val="24"/>
        </w:rPr>
        <w:t>орфанных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больных лечебным питанием инспекторы будут обращать внимание на наличие соответствующих назначений в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меддокументации</w:t>
      </w:r>
      <w:proofErr w:type="spellEnd"/>
      <w:r w:rsidRPr="00AF3263">
        <w:rPr>
          <w:rFonts w:ascii="Calibri" w:hAnsi="Calibri" w:cs="Calibri"/>
          <w:sz w:val="24"/>
          <w:szCs w:val="24"/>
        </w:rPr>
        <w:t>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Из списка контрольных вопросов по правам граждан исключены пункты, касающиеся клинической апробации (КА). В </w:t>
      </w:r>
      <w:proofErr w:type="spellStart"/>
      <w:r w:rsidRPr="00AF3263">
        <w:rPr>
          <w:rFonts w:ascii="Calibri" w:hAnsi="Calibri" w:cs="Calibri"/>
          <w:sz w:val="24"/>
          <w:szCs w:val="24"/>
        </w:rPr>
        <w:t>частнсти</w:t>
      </w:r>
      <w:proofErr w:type="spellEnd"/>
      <w:r w:rsidRPr="00AF3263">
        <w:rPr>
          <w:rFonts w:ascii="Calibri" w:hAnsi="Calibri" w:cs="Calibri"/>
          <w:sz w:val="24"/>
          <w:szCs w:val="24"/>
        </w:rPr>
        <w:t>, инспекторы не будут оценивать соблюдение порядка направления пациентов и порядка проведения клинической апробации, а также правильность оформления КА.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Проверяющие также будут оценивать работу больниц с Единой государственной </w:t>
      </w:r>
      <w:proofErr w:type="spellStart"/>
      <w:r w:rsidRPr="00AF3263">
        <w:rPr>
          <w:rFonts w:ascii="Calibri" w:hAnsi="Calibri" w:cs="Calibri"/>
          <w:sz w:val="24"/>
          <w:szCs w:val="24"/>
        </w:rPr>
        <w:t>информационой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системой в сфере здравоохранения (ЕГИСЗ). Контролю подлежат, как сами факты внесения данных в систему, так и соблюдение установленных для этого сроков.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Медосмотры и медэкспертизы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Точечные изменения были внесены в чек-лист по оценке правильности проведения медицинских экспертиз и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медосвидетельствований</w:t>
      </w:r>
      <w:proofErr w:type="spellEnd"/>
      <w:r w:rsidRPr="00AF3263">
        <w:rPr>
          <w:rFonts w:ascii="Calibri" w:hAnsi="Calibri" w:cs="Calibri"/>
          <w:sz w:val="24"/>
          <w:szCs w:val="24"/>
        </w:rPr>
        <w:t>. Вопросы для проверки порядка проведения медико-социальных экспертиз (МСЭ адаптировали под новые правила признания лица инвалидом, утвержденные Постановлением Правительства РФ </w:t>
      </w:r>
      <w:hyperlink r:id="rId44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№ 588 от 05.04.2022</w:t>
        </w:r>
      </w:hyperlink>
      <w:r w:rsidRPr="00AF3263">
        <w:rPr>
          <w:rFonts w:ascii="Calibri" w:hAnsi="Calibri" w:cs="Calibri"/>
          <w:sz w:val="24"/>
          <w:szCs w:val="24"/>
        </w:rPr>
        <w:t>. 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Для соблюдения порядка и сроков направления пациентов на такие экспертизы обновлены ссылки на новый документ. Также исключено требование для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при отказе от направления на МСЭ выдавать пациентам справку для их самостоятельного обращения.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Из оснований для проведения военно-врачебных экспертиз исключили совместный приказ Минобороны и Минздрава № 240/168 от 23.05.2001 "Об организации медицинского </w:t>
      </w:r>
      <w:r w:rsidRPr="00AF3263">
        <w:rPr>
          <w:rFonts w:ascii="Calibri" w:hAnsi="Calibri" w:cs="Calibri"/>
          <w:sz w:val="24"/>
          <w:szCs w:val="24"/>
        </w:rPr>
        <w:lastRenderedPageBreak/>
        <w:t>обеспечения подготовки граждан Российской Федерации к военной службе», который в мае утратил силу. Вместе с ним исключили и часть требований, в том числе соблюдение порядка проведения лечебно-оздоровительных мероприятий для призывников, получивших отсрочку и поставленных на воинский учет.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Практически полностью обновились контрольные вопросы для проверки больниц, проводящих врачебно-летные экспертизы для авиаперсонала экспериментальной и гражданской авиации. Вопросы касаются, в том числе, оснащения, оформления документации и порядка проведения экспертиз в здравпунктах аэродромов.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Требования для оценки порядка проведения психиатрического освидетельствования расширили и включили положение новых правил похождения психиатрического освидетельствования отдельными работниками (приказ Минздрава </w:t>
      </w:r>
      <w:hyperlink r:id="rId45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№ 342н от 20.05.2022</w:t>
        </w:r>
      </w:hyperlink>
      <w:r w:rsidRPr="00AF3263">
        <w:rPr>
          <w:rFonts w:ascii="Calibri" w:hAnsi="Calibri" w:cs="Calibri"/>
          <w:sz w:val="24"/>
          <w:szCs w:val="24"/>
        </w:rPr>
        <w:t>. При проверках у больниц будут проверять наличие лицензии, соблюдение сроков и порядка проведения такого обследования, а также правильность оформления заключений по результатам освидетельствования.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При диспансеризации госслужащих проверяющие будут обращать внимание на правильность заполнения документов по вакцинации от COVID-19. Также в круг вопросов вошли требования нового порядка проведения диспансерного наблюдения взрослых (приказ Минздрава </w:t>
      </w:r>
      <w:hyperlink r:id="rId46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№ 168н от 15.03.2022</w:t>
        </w:r>
      </w:hyperlink>
      <w:r w:rsidRPr="00AF3263">
        <w:rPr>
          <w:rFonts w:ascii="Calibri" w:hAnsi="Calibri" w:cs="Calibri"/>
          <w:sz w:val="24"/>
          <w:szCs w:val="24"/>
        </w:rPr>
        <w:t xml:space="preserve">). Новые правила оформления </w:t>
      </w:r>
      <w:proofErr w:type="spellStart"/>
      <w:r w:rsidRPr="00AF3263">
        <w:rPr>
          <w:rFonts w:ascii="Calibri" w:hAnsi="Calibri" w:cs="Calibri"/>
          <w:sz w:val="24"/>
          <w:szCs w:val="24"/>
        </w:rPr>
        <w:t>медсправок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для допуска к работе с наркотиками также будут оценивать при диспансеризации взрослых.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С </w:t>
      </w:r>
      <w:proofErr w:type="spellStart"/>
      <w:r w:rsidRPr="00AF3263">
        <w:rPr>
          <w:rFonts w:ascii="Calibri" w:hAnsi="Calibri" w:cs="Calibri"/>
          <w:sz w:val="24"/>
          <w:szCs w:val="24"/>
        </w:rPr>
        <w:t>учетем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внесенных изменений в нормативные акты обновились вопросы по диспансеризации детей, обследования патронатных родителей, предварительных и периодических, а также </w:t>
      </w:r>
      <w:proofErr w:type="spellStart"/>
      <w:r w:rsidRPr="00AF3263">
        <w:rPr>
          <w:rFonts w:ascii="Calibri" w:hAnsi="Calibri" w:cs="Calibri"/>
          <w:sz w:val="24"/>
          <w:szCs w:val="24"/>
        </w:rPr>
        <w:t>предрейсовых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медосмотров. Изменения также внесли в чек-лист по внутреннему контролю качества.</w:t>
      </w:r>
    </w:p>
    <w:p w:rsidR="002C212B" w:rsidRPr="00AF3263" w:rsidRDefault="002C212B" w:rsidP="00AF326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В начале марта правительство ввело мораторий на проведение плановых проверок до конца 2022 года, в том числе в отношении больниц по контролю качества и безопасности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меддеятельности</w:t>
      </w:r>
      <w:proofErr w:type="spellEnd"/>
      <w:r w:rsidRPr="00AF3263">
        <w:rPr>
          <w:rFonts w:ascii="Calibri" w:hAnsi="Calibri" w:cs="Calibri"/>
          <w:sz w:val="24"/>
          <w:szCs w:val="24"/>
        </w:rPr>
        <w:t>. Позднее Росздравнадзор </w:t>
      </w:r>
      <w:hyperlink r:id="rId47" w:history="1">
        <w:r w:rsidRPr="00AF3263">
          <w:rPr>
            <w:rStyle w:val="a3"/>
            <w:rFonts w:ascii="Calibri" w:hAnsi="Calibri" w:cs="Calibri"/>
            <w:color w:val="E1442F"/>
            <w:sz w:val="24"/>
            <w:szCs w:val="24"/>
          </w:rPr>
          <w:t>подтвердил</w:t>
        </w:r>
      </w:hyperlink>
      <w:r w:rsidRPr="00AF3263">
        <w:rPr>
          <w:rFonts w:ascii="Calibri" w:hAnsi="Calibri" w:cs="Calibri"/>
          <w:sz w:val="24"/>
          <w:szCs w:val="24"/>
        </w:rPr>
        <w:t>, что сотрудники службы будут проводить только внеплановые проверки больниц.</w:t>
      </w:r>
    </w:p>
    <w:p w:rsidR="002C212B" w:rsidRPr="00AF3263" w:rsidRDefault="00403C93" w:rsidP="00AF3263">
      <w:pPr>
        <w:jc w:val="both"/>
        <w:rPr>
          <w:rFonts w:ascii="Calibri" w:hAnsi="Calibri" w:cs="Calibri"/>
          <w:sz w:val="24"/>
          <w:szCs w:val="24"/>
        </w:rPr>
      </w:pPr>
      <w:hyperlink r:id="rId48" w:history="1">
        <w:r w:rsidR="002C212B" w:rsidRPr="00AF3263">
          <w:rPr>
            <w:rStyle w:val="a3"/>
            <w:rFonts w:ascii="Calibri" w:hAnsi="Calibri" w:cs="Calibri"/>
            <w:sz w:val="24"/>
            <w:szCs w:val="24"/>
          </w:rPr>
          <w:t>https://medvestnik.ru/content/news/Roszdravnadzor-razrabotal-novye-chek-listy-po-goskontrolu-kachestva-i-bezopasnosti-medpomoshi.html</w:t>
        </w:r>
      </w:hyperlink>
    </w:p>
    <w:p w:rsidR="00403C93" w:rsidRPr="00AF3263" w:rsidRDefault="00403C93" w:rsidP="00403C93">
      <w:pPr>
        <w:jc w:val="both"/>
        <w:rPr>
          <w:rFonts w:ascii="Calibri" w:hAnsi="Calibri" w:cs="Calibri"/>
          <w:b/>
          <w:sz w:val="24"/>
          <w:szCs w:val="24"/>
        </w:rPr>
      </w:pPr>
      <w:r w:rsidRPr="00AF3263">
        <w:rPr>
          <w:rFonts w:ascii="Calibri" w:hAnsi="Calibri" w:cs="Calibri"/>
          <w:b/>
          <w:sz w:val="24"/>
          <w:szCs w:val="24"/>
        </w:rPr>
        <w:t>Минздрав РФ: требование платно сдавать тест на COVID-19 для госпитализации необоснованно</w:t>
      </w:r>
    </w:p>
    <w:p w:rsidR="00403C93" w:rsidRPr="00AF3263" w:rsidRDefault="00403C93" w:rsidP="00403C93">
      <w:pPr>
        <w:jc w:val="both"/>
        <w:rPr>
          <w:rFonts w:ascii="Calibri" w:hAnsi="Calibri" w:cs="Calibri"/>
          <w:color w:val="3A4142"/>
          <w:sz w:val="24"/>
          <w:szCs w:val="24"/>
        </w:rPr>
      </w:pPr>
      <w:r w:rsidRPr="00AF3263">
        <w:rPr>
          <w:rFonts w:ascii="Calibri" w:hAnsi="Calibri" w:cs="Calibri"/>
          <w:color w:val="3A4142"/>
          <w:sz w:val="24"/>
          <w:szCs w:val="24"/>
        </w:rPr>
        <w:t xml:space="preserve">30 августа. Interfax-Russia.ru - Требование платно сдавать ПЦР-тест на </w:t>
      </w:r>
      <w:proofErr w:type="spellStart"/>
      <w:r w:rsidRPr="00AF3263">
        <w:rPr>
          <w:rFonts w:ascii="Calibri" w:hAnsi="Calibri" w:cs="Calibri"/>
          <w:color w:val="3A4142"/>
          <w:sz w:val="24"/>
          <w:szCs w:val="24"/>
        </w:rPr>
        <w:t>коронавирус</w:t>
      </w:r>
      <w:proofErr w:type="spellEnd"/>
      <w:r w:rsidRPr="00AF3263">
        <w:rPr>
          <w:rFonts w:ascii="Calibri" w:hAnsi="Calibri" w:cs="Calibri"/>
          <w:color w:val="3A4142"/>
          <w:sz w:val="24"/>
          <w:szCs w:val="24"/>
        </w:rPr>
        <w:t xml:space="preserve"> для плановой госпитализации необоснованно; пациенты вправе сделать это бесплатно в рамках обязательного медицинского страхования (ОМС), сообщили "Интерфаксу" в пресс-службе Минздрава России.</w:t>
      </w:r>
    </w:p>
    <w:p w:rsidR="00403C93" w:rsidRPr="00AF3263" w:rsidRDefault="00403C93" w:rsidP="00403C9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Ранее, как сообщила газета "Коммерсант", Всероссийский союз пациентов обратился в Минздрав РФ с просьбой повлиять на больницы, которые при плановой госпитализации требуют результаты ПЦР-теста на </w:t>
      </w:r>
      <w:proofErr w:type="spellStart"/>
      <w:r w:rsidRPr="00AF3263">
        <w:rPr>
          <w:rFonts w:ascii="Calibri" w:hAnsi="Calibri" w:cs="Calibri"/>
          <w:sz w:val="24"/>
          <w:szCs w:val="24"/>
        </w:rPr>
        <w:t>коронавирус</w:t>
      </w:r>
      <w:proofErr w:type="spellEnd"/>
      <w:r w:rsidRPr="00AF3263">
        <w:rPr>
          <w:rFonts w:ascii="Calibri" w:hAnsi="Calibri" w:cs="Calibri"/>
          <w:sz w:val="24"/>
          <w:szCs w:val="24"/>
        </w:rPr>
        <w:t>, но при этом не предлагают сдать его бесплатно по ОМС.</w:t>
      </w:r>
    </w:p>
    <w:p w:rsidR="00403C93" w:rsidRPr="00AF3263" w:rsidRDefault="00403C93" w:rsidP="00403C9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"Требование сдать ПЦР-тест для плановой госпитализации платно необоснованно. В этом случае гражданин вправе обратиться в ту страховую компанию, которая выдала ему полис </w:t>
      </w:r>
      <w:r w:rsidRPr="00AF3263">
        <w:rPr>
          <w:rFonts w:ascii="Calibri" w:hAnsi="Calibri" w:cs="Calibri"/>
          <w:sz w:val="24"/>
          <w:szCs w:val="24"/>
        </w:rPr>
        <w:lastRenderedPageBreak/>
        <w:t>ОМС, либо в территориальный фонд обязательного медицинского страхования (ТФОМС) субъекта РФ, где оказывается медицинская помощь", - говорится в сообщении пресс-службы Минздрава во вторник.</w:t>
      </w:r>
    </w:p>
    <w:p w:rsidR="00403C93" w:rsidRPr="00AF3263" w:rsidRDefault="00403C93" w:rsidP="00403C9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Отмечается, что представитель страховой медицинской организации или ТФОМС разъяснит порядок прохождения ПЦР-теста бесплатно либо свяжется с </w:t>
      </w:r>
      <w:proofErr w:type="spellStart"/>
      <w:r w:rsidRPr="00AF3263">
        <w:rPr>
          <w:rFonts w:ascii="Calibri" w:hAnsi="Calibri" w:cs="Calibri"/>
          <w:sz w:val="24"/>
          <w:szCs w:val="24"/>
        </w:rPr>
        <w:t>медорганизацией</w:t>
      </w:r>
      <w:proofErr w:type="spellEnd"/>
      <w:r w:rsidRPr="00AF3263">
        <w:rPr>
          <w:rFonts w:ascii="Calibri" w:hAnsi="Calibri" w:cs="Calibri"/>
          <w:sz w:val="24"/>
          <w:szCs w:val="24"/>
        </w:rPr>
        <w:t>, требующей сдать ПЦР-тест платно, и напомнит ей об обязанности предоставить пациентам возможность пройти ПЦР-тестирование бесплатно по ОМС.</w:t>
      </w:r>
    </w:p>
    <w:p w:rsidR="00403C93" w:rsidRPr="00AF3263" w:rsidRDefault="00403C93" w:rsidP="00403C9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>В пресс-службе сообщили, что средства на то, чтобы проводить ПЦР-тестирование бесплатно, выделены Минздравом РФ и поликлиникам, и больницам, а также должны выделяться субъектами России в достаточных для проведения необходимого количества исследований объемах.</w:t>
      </w:r>
    </w:p>
    <w:p w:rsidR="00403C93" w:rsidRPr="00AF3263" w:rsidRDefault="00403C93" w:rsidP="00403C9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Также в пресс-службе напомнили, что временные методические рекомендации Минздрава России, касающиеся порядка госпитализации в условиях распространения </w:t>
      </w:r>
      <w:proofErr w:type="spellStart"/>
      <w:r w:rsidRPr="00AF3263">
        <w:rPr>
          <w:rFonts w:ascii="Calibri" w:hAnsi="Calibri" w:cs="Calibri"/>
          <w:sz w:val="24"/>
          <w:szCs w:val="24"/>
        </w:rPr>
        <w:t>коронавируса</w:t>
      </w:r>
      <w:proofErr w:type="spellEnd"/>
      <w:r w:rsidRPr="00AF3263">
        <w:rPr>
          <w:rFonts w:ascii="Calibri" w:hAnsi="Calibri" w:cs="Calibri"/>
          <w:sz w:val="24"/>
          <w:szCs w:val="24"/>
        </w:rPr>
        <w:t>, предписывают врачам при малейших подозрениях на COVID-19 направлять пациентов на ПЦР-тестирование.</w:t>
      </w:r>
    </w:p>
    <w:p w:rsidR="00403C93" w:rsidRPr="00AF3263" w:rsidRDefault="00403C93" w:rsidP="00403C93">
      <w:pPr>
        <w:jc w:val="both"/>
        <w:rPr>
          <w:rFonts w:ascii="Calibri" w:hAnsi="Calibri" w:cs="Calibri"/>
          <w:sz w:val="24"/>
          <w:szCs w:val="24"/>
        </w:rPr>
      </w:pPr>
      <w:r w:rsidRPr="00AF3263">
        <w:rPr>
          <w:rFonts w:ascii="Calibri" w:hAnsi="Calibri" w:cs="Calibri"/>
          <w:sz w:val="24"/>
          <w:szCs w:val="24"/>
        </w:rPr>
        <w:t xml:space="preserve">"Пациент может нормально себя чувствовать и, тем не менее, являться носителем вируса SARS </w:t>
      </w:r>
      <w:proofErr w:type="spellStart"/>
      <w:r w:rsidRPr="00AF3263">
        <w:rPr>
          <w:rFonts w:ascii="Calibri" w:hAnsi="Calibri" w:cs="Calibri"/>
          <w:sz w:val="24"/>
          <w:szCs w:val="24"/>
        </w:rPr>
        <w:t>CoV</w:t>
      </w:r>
      <w:proofErr w:type="spellEnd"/>
      <w:r w:rsidRPr="00AF3263">
        <w:rPr>
          <w:rFonts w:ascii="Calibri" w:hAnsi="Calibri" w:cs="Calibri"/>
          <w:sz w:val="24"/>
          <w:szCs w:val="24"/>
        </w:rPr>
        <w:t xml:space="preserve"> 2. При любых косвенных признаках заболевания - покраснении глаз, повышенной утомляемости, вялости, сонливости, затрудненности носового дыхания, першении в горле - врачи предпочитают перестраховаться и убедиться в том, что пациент здоров, с помощью ПЦР-теста. Именно поэтому практически все граждане, направленные на плановую госпитализацию, сдают ПЦР-тест на COVID-19. Лучше лишний раз сделать анализ, чем занести опасную инфекцию в больницу", - отмечается в сообщении.</w:t>
      </w:r>
    </w:p>
    <w:p w:rsidR="00403C93" w:rsidRPr="00AF3263" w:rsidRDefault="00403C93" w:rsidP="00403C93">
      <w:pPr>
        <w:jc w:val="both"/>
        <w:rPr>
          <w:rFonts w:ascii="Calibri" w:hAnsi="Calibri" w:cs="Calibri"/>
          <w:sz w:val="24"/>
          <w:szCs w:val="24"/>
        </w:rPr>
      </w:pPr>
      <w:hyperlink r:id="rId49" w:history="1">
        <w:r w:rsidRPr="00AF3263">
          <w:rPr>
            <w:rStyle w:val="a3"/>
            <w:rFonts w:ascii="Calibri" w:hAnsi="Calibri" w:cs="Calibri"/>
            <w:sz w:val="24"/>
            <w:szCs w:val="24"/>
          </w:rPr>
          <w:t>https://www.interfax-russia.ru/main/minzdrav-rf-trebovanie-platno-sdavat-test-na-covid-19-dlya-gospitalizacii-neobosnovanno?utm_source=yxnews&amp;utm_medium=desktop&amp;utm_referrer=https%3A%2F%2Fyandex.ru%2Fnews%2Fsearch%3Ftext%3D</w:t>
        </w:r>
      </w:hyperlink>
    </w:p>
    <w:p w:rsidR="008942F9" w:rsidRPr="00AF3263" w:rsidRDefault="008942F9" w:rsidP="00AF3263">
      <w:pPr>
        <w:jc w:val="both"/>
        <w:rPr>
          <w:rFonts w:ascii="Calibri" w:hAnsi="Calibri" w:cs="Calibri"/>
        </w:rPr>
      </w:pPr>
    </w:p>
    <w:sectPr w:rsidR="008942F9" w:rsidRPr="00AF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B"/>
    <w:rsid w:val="00284E86"/>
    <w:rsid w:val="002C212B"/>
    <w:rsid w:val="00403C93"/>
    <w:rsid w:val="008942F9"/>
    <w:rsid w:val="008D736B"/>
    <w:rsid w:val="00AF3263"/>
    <w:rsid w:val="00B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B1A3"/>
  <w15:chartTrackingRefBased/>
  <w15:docId w15:val="{A97F49C6-24A7-4BC0-8BF2-DA99B52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4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2C212B"/>
  </w:style>
  <w:style w:type="character" w:styleId="a3">
    <w:name w:val="Hyperlink"/>
    <w:basedOn w:val="a0"/>
    <w:uiPriority w:val="99"/>
    <w:unhideWhenUsed/>
    <w:rsid w:val="002C212B"/>
    <w:rPr>
      <w:color w:val="0000FF"/>
      <w:u w:val="single"/>
    </w:rPr>
  </w:style>
  <w:style w:type="paragraph" w:customStyle="1" w:styleId="lead">
    <w:name w:val="lead"/>
    <w:basedOn w:val="a"/>
    <w:rsid w:val="002C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1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C21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89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942F9"/>
  </w:style>
  <w:style w:type="character" w:customStyle="1" w:styleId="20">
    <w:name w:val="Заголовок 2 Знак"/>
    <w:basedOn w:val="a0"/>
    <w:link w:val="2"/>
    <w:uiPriority w:val="9"/>
    <w:rsid w:val="00284E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aringtext">
    <w:name w:val="sharing__text"/>
    <w:basedOn w:val="a0"/>
    <w:rsid w:val="00284E86"/>
  </w:style>
  <w:style w:type="character" w:customStyle="1" w:styleId="sharingicon">
    <w:name w:val="sharing__icon"/>
    <w:basedOn w:val="a0"/>
    <w:rsid w:val="00284E86"/>
  </w:style>
  <w:style w:type="paragraph" w:customStyle="1" w:styleId="doctext">
    <w:name w:val="doc__text"/>
    <w:basedOn w:val="a"/>
    <w:rsid w:val="0028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28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28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173">
          <w:marLeft w:val="37"/>
          <w:marRight w:val="37"/>
          <w:marTop w:val="0"/>
          <w:marBottom w:val="0"/>
          <w:divBdr>
            <w:top w:val="single" w:sz="2" w:space="7" w:color="E1442F"/>
            <w:left w:val="single" w:sz="2" w:space="10" w:color="E1442F"/>
            <w:bottom w:val="single" w:sz="2" w:space="7" w:color="E1442F"/>
            <w:right w:val="single" w:sz="2" w:space="10" w:color="E1442F"/>
          </w:divBdr>
        </w:div>
        <w:div w:id="1448550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112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0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5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48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2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4465"/>
            <w:bottom w:val="none" w:sz="0" w:space="0" w:color="auto"/>
            <w:right w:val="none" w:sz="0" w:space="0" w:color="auto"/>
          </w:divBdr>
        </w:div>
      </w:divsChild>
    </w:div>
    <w:div w:id="1011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9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</w:div>
      </w:divsChild>
    </w:div>
    <w:div w:id="134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325">
          <w:marLeft w:val="37"/>
          <w:marRight w:val="37"/>
          <w:marTop w:val="0"/>
          <w:marBottom w:val="0"/>
          <w:divBdr>
            <w:top w:val="single" w:sz="2" w:space="7" w:color="E1442F"/>
            <w:left w:val="single" w:sz="2" w:space="10" w:color="E1442F"/>
            <w:bottom w:val="single" w:sz="2" w:space="7" w:color="E1442F"/>
            <w:right w:val="single" w:sz="2" w:space="10" w:color="E1442F"/>
          </w:divBdr>
        </w:div>
        <w:div w:id="12940942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37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8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4994216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1627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4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392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50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58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Rashody-FOMS-v-2023-godu-vpervye-prevysyat-3-trln-rublei.html" TargetMode="External"/><Relationship Id="rId18" Type="http://schemas.openxmlformats.org/officeDocument/2006/relationships/hyperlink" Target="https://medvestnik.ru/content/news/Glava-profsouza-poprosil-Minzdrav-uskorit-start-pilota-novoi-sistemy-oplaty-truda.html" TargetMode="External"/><Relationship Id="rId26" Type="http://schemas.openxmlformats.org/officeDocument/2006/relationships/hyperlink" Target="https://vademec.ru/news/2022/08/29/finansirovanie-onkopomoshchi-za-schet-oms-v-pervom-polugodii-vyroslo-na-14-6-mlrd-rubley/" TargetMode="External"/><Relationship Id="rId39" Type="http://schemas.openxmlformats.org/officeDocument/2006/relationships/hyperlink" Target="https://medvestnik.ru/content/news/Bolshaya-chast-vrachei-soobshila-o-neudovletvorennosti-zarplatami.html" TargetMode="External"/><Relationship Id="rId21" Type="http://schemas.openxmlformats.org/officeDocument/2006/relationships/hyperlink" Target="https://medvestnik.ru/content/news/Minzdrav-napravil-regionam-rekomendacii-po-sovershenstvovaniu-sistem-oplaty-truda.html" TargetMode="External"/><Relationship Id="rId34" Type="http://schemas.openxmlformats.org/officeDocument/2006/relationships/hyperlink" Target="https://medvestnik.ru/content/news/Minzdrav-i-FOMS-otchitalis-o-vypolnenii-maiskih-ukazov-prezidenta-po-zarplate-medrabotnikov.html" TargetMode="External"/><Relationship Id="rId42" Type="http://schemas.openxmlformats.org/officeDocument/2006/relationships/hyperlink" Target="http://regulation.gov.ru/p/130901" TargetMode="External"/><Relationship Id="rId47" Type="http://schemas.openxmlformats.org/officeDocument/2006/relationships/hyperlink" Target="https://medvestnik.ru/content/news/Roszdravnadzor-podtverdil-otmenu-planovyh-proverok-v-sfere-zdravoohraneniya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dvestnik.ru/content/news/Minzdrav-podgotovil-dopolneniya-v-prikaz-o-medicinskoi-reabilitac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vestnik.ru/content/news/Minzdrav-anonsiroval-korrektirovku-metodiki-raspredeleniya-subvencii-iz-budjeta-FOMS.html" TargetMode="External"/><Relationship Id="rId29" Type="http://schemas.openxmlformats.org/officeDocument/2006/relationships/hyperlink" Target="https://minfin.gov.ru/ru/press-center/?id_4=37752-ispolnenie_raskhodov_federalnogo_byudzheta_na_ryealizatsiyu_natsionalnykh_proektov" TargetMode="External"/><Relationship Id="rId11" Type="http://schemas.openxmlformats.org/officeDocument/2006/relationships/hyperlink" Target="https://medvestnik.ru/content/news/Zatraty-na-vysokotehnologichnuu-medpomosh-v-pervom-polugodii-prevysili-100-mlrd-rublei.html" TargetMode="External"/><Relationship Id="rId24" Type="http://schemas.openxmlformats.org/officeDocument/2006/relationships/hyperlink" Target="https://medvestnik.ru/content/news/Minzdrav-i-FOMS-utverdili-usloviya-finansovoi-motivacii-LPU-za-effektivnuu-profilaktiku.html" TargetMode="External"/><Relationship Id="rId32" Type="http://schemas.openxmlformats.org/officeDocument/2006/relationships/hyperlink" Target="https://vademec.ru/news/2022/08/31/sp-byudzhet-fedproekta-po-sozdaniyu-edinogo-tsifrovogo-kontura-na-osnove-egisz-za-polugodie-ispolnen/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s://medvestnik.ru/content/news/Bolshaya-chast-vrachei-soobshila-o-neudovletvorennosti-zarplatami.html" TargetMode="External"/><Relationship Id="rId45" Type="http://schemas.openxmlformats.org/officeDocument/2006/relationships/hyperlink" Target="https://medvestnik.ru/content/documents/342n-ot-20-05-2022.html" TargetMode="External"/><Relationship Id="rId5" Type="http://schemas.openxmlformats.org/officeDocument/2006/relationships/hyperlink" Target="https://www.pnp.ru/social/v-rossii-razrabotali-proekt-po-borbe-s-sakharnym-diabetom.html?utm_source=yxnews&amp;utm_medium=desktop&amp;utm_referrer=https%3A%2F%2Fyandex.ru%2Fnews%2Fsearch%3Ftext%3D" TargetMode="External"/><Relationship Id="rId15" Type="http://schemas.openxmlformats.org/officeDocument/2006/relationships/hyperlink" Target="https://medvestnik.ru/content/news/Sredstva-strahovogo-zapasa-na-povyshenie-zarplat-vrachei-v-2021-godu-ispolzovany-vsego-na-3.html" TargetMode="External"/><Relationship Id="rId23" Type="http://schemas.openxmlformats.org/officeDocument/2006/relationships/hyperlink" Target="https://medvestnik.ru/content/news/Glava-FOMS-poyasnil-kriterii-ocenki-poliklinik-dlya-dopolnitelnogo-finansirovaniya.html" TargetMode="External"/><Relationship Id="rId28" Type="http://schemas.openxmlformats.org/officeDocument/2006/relationships/hyperlink" Target="https://vademec.ru/news/2022/07/21/schetnaya-palata-kliniki-vynuzhdeny-dublirovat-v-informsistemakh-odni-i-te-zhe-dannye/" TargetMode="External"/><Relationship Id="rId36" Type="http://schemas.openxmlformats.org/officeDocument/2006/relationships/image" Target="media/image3.png"/><Relationship Id="rId49" Type="http://schemas.openxmlformats.org/officeDocument/2006/relationships/hyperlink" Target="https://www.interfax-russia.ru/main/minzdrav-rf-trebovanie-platno-sdavat-test-na-covid-19-dlya-gospitalizacii-neobosnovanno?utm_source=yxnews&amp;utm_medium=desktop&amp;utm_referrer=https%3A%2F%2Fyandex.ru%2Fnews%2Fsearch%3Ftext%3D" TargetMode="External"/><Relationship Id="rId10" Type="http://schemas.openxmlformats.org/officeDocument/2006/relationships/hyperlink" Target="https://medvestnik.ru/content/news/Minzdrav-anonsiroval-dostupnost-medicinskoi-reabilitacii-dlya-1-mln-rossiyan-k-2023-godu.html" TargetMode="External"/><Relationship Id="rId19" Type="http://schemas.openxmlformats.org/officeDocument/2006/relationships/hyperlink" Target="https://medvestnik.ru/content/news/Pravitelstvo-otlojilo-zapusk-novoi-sistemy-oplaty-truda-medrabotnikov-eshe-na-tri-goda.html?utm_source=main&amp;utm_medium=center-main-right" TargetMode="External"/><Relationship Id="rId31" Type="http://schemas.openxmlformats.org/officeDocument/2006/relationships/hyperlink" Target="https://www.vademec.ru/news/2022/03/21/preparaty-s-istekayushchim-srokom-godnosti-predlozheno-ispolzovat-dlya-lekobespecheniya-lgotnikov/" TargetMode="External"/><Relationship Id="rId44" Type="http://schemas.openxmlformats.org/officeDocument/2006/relationships/hyperlink" Target="https://medvestnik.ru/content/documents/588-ot-05-04-2022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news/Gotovnost-uchastiya-v-proekte-modernizacii-reabilitacionnyh-meduchrejdenii-podtverdili-82-regiona.html" TargetMode="External"/><Relationship Id="rId14" Type="http://schemas.openxmlformats.org/officeDocument/2006/relationships/hyperlink" Target="https://medvestnik.ru/content/news/Schetnaya-palata-zayavila-o-nesovershenstvah-metodiki-raspredeleniya-subvencii-FOMS-regionam.html" TargetMode="External"/><Relationship Id="rId22" Type="http://schemas.openxmlformats.org/officeDocument/2006/relationships/hyperlink" Target="https://medvestnik.ru/content/documents/31-1-I-2-13413-00-10-26-2-04-9286-ot-15-08-2022.html" TargetMode="External"/><Relationship Id="rId27" Type="http://schemas.openxmlformats.org/officeDocument/2006/relationships/hyperlink" Target="https://vademec.ru/news/2022/09/05/minzdrav-sobiraetsya-prodlit-deystvie-fedproekta-borba-s-onkologicheskimi-zabolevaniyami/" TargetMode="External"/><Relationship Id="rId30" Type="http://schemas.openxmlformats.org/officeDocument/2006/relationships/hyperlink" Target="https://vademec.ru/news/2022/07/06/prinyat-zakon-o-sozdanii-registrov-farmkompaniy-i-farmrabotnikov/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s://medvestnik.ru/content/documents/344n-ot-20-05-2022.html" TargetMode="External"/><Relationship Id="rId48" Type="http://schemas.openxmlformats.org/officeDocument/2006/relationships/hyperlink" Target="https://medvestnik.ru/content/news/Roszdravnadzor-razrabotal-novye-chek-listy-po-goskontrolu-kachestva-i-bezopasnosti-medpomoshi.html" TargetMode="External"/><Relationship Id="rId8" Type="http://schemas.openxmlformats.org/officeDocument/2006/relationships/hyperlink" Target="https://medvestnik.ru/content/news/V-ONF-ukazali-na-nizkie-tarify-na-medicinskuu-reabilitaciu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edvestnik.ru/content/news/S-nachala-goda-za-vyyavlenie-onkozabolevanii-vrachei-premirovali-na-12-tys-rublei.html" TargetMode="External"/><Relationship Id="rId17" Type="http://schemas.openxmlformats.org/officeDocument/2006/relationships/hyperlink" Target="https://medvestnik.ru/content/news/Deputaty-i-profsouzy-predupredili-o-posledstviyah-otkaza-ot-novoi-sistemy-oplaty-truda-v-medicine.html" TargetMode="External"/><Relationship Id="rId25" Type="http://schemas.openxmlformats.org/officeDocument/2006/relationships/hyperlink" Target="https://vademec.ru/news/2022/06/28/bolshinstvo-tsaop-nedoukomplektovany-kadrami/" TargetMode="External"/><Relationship Id="rId33" Type="http://schemas.openxmlformats.org/officeDocument/2006/relationships/hyperlink" Target="https://rosstat.gov.ru/storage/mediabank/itog-monitor_02-22.htm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s://medvestnik.ru/content/documents/168n-ot-15-03-2022.html" TargetMode="External"/><Relationship Id="rId20" Type="http://schemas.openxmlformats.org/officeDocument/2006/relationships/hyperlink" Target="https://medvestnik.ru/content/news/Zarabotok-rossiiskih-vrachei-otstal-ot-planki-maiskih-ukazov.html" TargetMode="External"/><Relationship Id="rId41" Type="http://schemas.openxmlformats.org/officeDocument/2006/relationships/hyperlink" Target="https://medvestnik.ru/content/news/Zarabotok-rossiiskih-vrachei-otstal-ot-planki-maiskih-ukaz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vestnik.ru/content/news/Opublikovany-metodicheskie-rekomendacii-po-oplate-medpomoshi-v-programme-gosgarantii-na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2022-09-05T12:15:00Z</dcterms:created>
  <dcterms:modified xsi:type="dcterms:W3CDTF">2022-09-05T12:15:00Z</dcterms:modified>
</cp:coreProperties>
</file>